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exact" w:line="286" w:before="822" w:after="0"/>
        <w:ind w:hanging="0" w:start="8076" w:end="102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Генеральному прокурору Российской Федерации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А.В. Гуцану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 </w:t>
      </w:r>
    </w:p>
    <w:p>
      <w:pPr>
        <w:pStyle w:val="Normal"/>
        <w:widowControl/>
        <w:spacing w:lineRule="exact" w:line="286" w:before="602" w:after="0"/>
        <w:ind w:hanging="0" w:start="1690" w:end="169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Обращение о необходимости принятия мер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прокурорского реагирования в связи с риском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принятия нормативного правового акта,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противоречащего Федеральному закону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«О рыболовстве и сохранении водных биологических ресурсов» </w:t>
      </w:r>
    </w:p>
    <w:p>
      <w:pPr>
        <w:pStyle w:val="Normal"/>
        <w:widowControl/>
        <w:spacing w:lineRule="exact" w:line="246" w:before="644" w:after="0"/>
        <w:ind w:hanging="0" w:start="3484" w:end="3484"/>
        <w:jc w:val="end"/>
        <w:rPr/>
      </w:pPr>
      <w:r>
        <w:rPr>
          <w:rFonts w:eastAsia="Arial" w:ascii="Arial" w:hAnsi="Arial"/>
          <w:b w:val="false"/>
          <w:i w:val="false"/>
          <w:color w:val="000000"/>
          <w:w w:val="98"/>
          <w:sz w:val="22"/>
        </w:rPr>
        <w:t>Уважаемый</w:t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 </w:t>
      </w:r>
      <w:r>
        <w:rPr>
          <w:rFonts w:eastAsia="Arial" w:ascii="Arial" w:hAnsi="Arial"/>
          <w:b w:val="false"/>
          <w:i w:val="false"/>
          <w:color w:val="000000"/>
          <w:sz w:val="22"/>
        </w:rPr>
        <w:t>Александр</w:t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 </w:t>
      </w:r>
      <w:r>
        <w:rPr>
          <w:rFonts w:eastAsia="Arial" w:ascii="Arial" w:hAnsi="Arial"/>
          <w:b w:val="false"/>
          <w:i w:val="false"/>
          <w:color w:val="000000"/>
          <w:sz w:val="22"/>
        </w:rPr>
        <w:t>Владимирович!</w:t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 </w:t>
      </w:r>
    </w:p>
    <w:p>
      <w:pPr>
        <w:pStyle w:val="Normal"/>
        <w:widowControl/>
        <w:spacing w:lineRule="exact" w:line="284" w:before="162" w:after="0"/>
        <w:ind w:hanging="0" w:start="1702" w:end="81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Прошу провести проверку изложенных в настоящем обращении доводов о несоответствии проекта приказа Минсельхоза России «Об установлении ограничений рыболовства тихоокеанских лососей в Дальневосточном рыбохозяйственном бассейне в 2026 году» требованиям федерального законодательства и принять меры прокурорского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реагирования, направленные на недопущение принятия нормативного правового акта, противоречащего пункту 2 статьи 2 Федерального закона от 20.12.2004 № 166-ФЗ «О рыболовстве и сохранении водных биологических ресурсов». </w:t>
      </w:r>
    </w:p>
    <w:p>
      <w:pPr>
        <w:pStyle w:val="Normal"/>
        <w:widowControl/>
        <w:spacing w:lineRule="exact" w:line="284" w:before="162" w:after="0"/>
        <w:ind w:hanging="0" w:start="1702" w:end="1136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Указанной нормой закреплен один из основных принципов законодательства о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рыболовстве и сохранении водных биологических ресурсов –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прав. </w:t>
      </w:r>
    </w:p>
    <w:p>
      <w:pPr>
        <w:pStyle w:val="Normal"/>
        <w:widowControl/>
        <w:spacing w:lineRule="exact" w:line="284" w:before="162" w:after="0"/>
        <w:ind w:hanging="0" w:start="1702" w:end="916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Считаю, что в случае принятия проекта приказа Минсельхоза России в опубликованной редакции   данный принцип будет нарушен применительно к регулированию промышленного рыболовства тихоокеанских лососей на восточном побережье острова Сахалин. </w:t>
      </w:r>
    </w:p>
    <w:p>
      <w:pPr>
        <w:pStyle w:val="Normal"/>
        <w:widowControl/>
        <w:spacing w:lineRule="exact" w:line="284" w:before="162" w:after="0"/>
        <w:ind w:hanging="0" w:start="1702" w:end="83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Согласно пункту 4 проекта приказа, Минсельхоз России предлагает закрыть по 31 декабря 2026 г. промышленное рыболовство тихоокеанских лососей в Восточно-Сахалинской подзоне на участке от мыса Терпения до мыса Крильон с применением ставных неводов с длиной центрального троса более 1000 метров. </w:t>
      </w:r>
    </w:p>
    <w:p>
      <w:pPr>
        <w:pStyle w:val="Normal"/>
        <w:widowControl/>
        <w:spacing w:lineRule="exact" w:line="284" w:before="162" w:after="0"/>
        <w:ind w:hanging="0" w:start="1702" w:end="938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Таким образом, ограничение максимальной длины ставных неводов до 1000 метров предлагается установить для залива Терпения, юго-восточного побережья Сахалина и залива Анива. При этом северо-восточное побережье Сахалина – участок от мыса Елизаветы до мыса Терпения – остается вне действия данного ограничения. На этом участке, при отсутствии специального ограничения, сохранится возможность применения ставных неводов значительно большей длины – до 3000 метров. </w:t>
      </w:r>
    </w:p>
    <w:p>
      <w:pPr>
        <w:pStyle w:val="Normal"/>
        <w:widowControl/>
        <w:spacing w:lineRule="exact" w:line="284" w:before="160" w:after="200"/>
        <w:ind w:hanging="0" w:start="1702" w:end="1452"/>
        <w:jc w:val="start"/>
        <w:rPr/>
        <w:sectPr>
          <w:type w:val="nextPage"/>
          <w:pgSz w:w="11906" w:h="16838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Между тем именно северо-восточное побережье Сахалина, по имеющимся научным данным, является наиболее уязвимым из всех основных промысловых районов Восточного Сахалина с точки зрения ожидаемого возврата горбуши в 2026 году. </w:t>
      </w:r>
    </w:p>
    <w:p>
      <w:pPr>
        <w:pStyle w:val="Normal"/>
        <w:widowControl/>
        <w:spacing w:lineRule="exact" w:line="286" w:before="822" w:after="0"/>
        <w:ind w:hanging="0" w:start="1702" w:end="1054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В практике управления ресурсами горбуши Восточно-Сахалинской подзоны выделяются четыре отдельные единицы запаса – локальные стада северо-восточного и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юго-восточного побережья острова, заливов Терпения и Анива, облавливаемые в соответствующих промысловых районах. </w:t>
      </w:r>
    </w:p>
    <w:p>
      <w:pPr>
        <w:pStyle w:val="Normal"/>
        <w:widowControl/>
        <w:spacing w:lineRule="exact" w:line="284" w:before="160" w:after="0"/>
        <w:ind w:hanging="0" w:start="1702" w:end="117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В 2026 году возврат горбуши на Сахалин будет формироваться поколением, молодь которого скатилась из рек острова в море в 2025 году. По данным государственного мониторинга, приведенным в научной публикации А.М. Каева и П.С. Сухоноса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«Особенности покатной миграции молоди горбуши и оценка ее численности в реках островов Сахалин и Итуруп в 2025 г.» (Вопросы рыболовства. 2026. Т. 27. № 1), урожай молоди горбуши в 2025 году по основным районам Восточного Сахалина составил: </w:t>
      </w:r>
    </w:p>
    <w:p>
      <w:pPr>
        <w:pStyle w:val="Normal"/>
        <w:widowControl/>
        <w:spacing w:lineRule="exact" w:line="284" w:before="162" w:after="0"/>
        <w:ind w:hanging="0" w:start="1702" w:end="170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– </w:t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северо-восток Сахалина – 106,4 млн мальков при 6,14 млн м² нерестилищ; – залив Терпения – 287,2 млн мальков при 6,21 млн м² нерестилищ;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– юго-восток Сахалина – 531,6 млн мальков при 2,52 млн м² нерестилищ;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– залив Анива – 145,2 млн мальков при 1,67 млн м² нерестилищ. </w:t>
      </w:r>
    </w:p>
    <w:p>
      <w:pPr>
        <w:pStyle w:val="Normal"/>
        <w:widowControl/>
        <w:spacing w:lineRule="exact" w:line="284" w:before="162" w:after="0"/>
        <w:ind w:hanging="0" w:start="1702" w:end="898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Следовательно, северо-восток Сахалина имеет минимальный урожай молоди горбуши среди указанных районов при одной из крупнейших площадей естественных нерестилищ. Это означает повышенный риск недостижения оптимального заполнения нерестилищ производителями горбуши в 2026 году. </w:t>
      </w:r>
    </w:p>
    <w:p>
      <w:pPr>
        <w:pStyle w:val="Normal"/>
        <w:widowControl/>
        <w:spacing w:lineRule="exact" w:line="284" w:before="162" w:after="0"/>
        <w:ind w:hanging="0" w:start="1702" w:end="976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При таких обстоятельствах исключение северо-восточного побережья Сахалина из зоны действия ограничения длины ставных неводов до 1000 метров не соответствует логике и базовым принципам регулирования промысла. Фактически наименее обеспеченное по ожидаемому возврату локальное стадо горбуши Восточного Сахалина оказывается под значительно большей промысловой нагрузкой, чем районы, где урожай молоди был существенно выше. </w:t>
      </w:r>
    </w:p>
    <w:p>
      <w:pPr>
        <w:pStyle w:val="Normal"/>
        <w:widowControl/>
        <w:spacing w:lineRule="exact" w:line="286" w:before="158" w:after="0"/>
        <w:ind w:hanging="0" w:start="1702" w:end="114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Такой подход противоречит принципу приоритета сохранения водных биологических ресурсов и их рационального использования, поскольку при наличии научных данных о повышенной уязвимости запаса проектом нормативного правового акта создаются условия для более интенсивного промыслового воздействия именно на этот запас. </w:t>
      </w:r>
    </w:p>
    <w:p>
      <w:pPr>
        <w:pStyle w:val="Normal"/>
        <w:widowControl/>
        <w:spacing w:lineRule="exact" w:line="284" w:before="158" w:after="0"/>
        <w:ind w:hanging="0" w:start="1702" w:end="91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Обращаю внимание, что возможные ссылки на присутствие в уловах северо-восточного Сахалина транзитных особей горбуши, мигрирующих к нерестилищам материкового побережья Охотского моря, не могут являться достаточным основанием для отказа от ограничительных мер без надлежащего научного подтверждения. В имеющихся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опубликованных научных данных отсутствуют сведения, подтверждающие регулярное и значимое присутствие таких особей в промысловых уловах северо-восточного побережья Сахалина. Соответственно, данный довод не может использоваться как основание для принятия нормативного правового акта, создающего риск ущерба состоянию локального стада горбуши северо-востока Сахалина. </w:t>
      </w:r>
    </w:p>
    <w:p>
      <w:pPr>
        <w:pStyle w:val="Normal"/>
        <w:widowControl/>
        <w:spacing w:lineRule="exact" w:line="284" w:before="160" w:after="0"/>
        <w:ind w:hanging="0" w:start="1702" w:end="994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Дополнительно следует учитывать, что ставные невода на северо-восточном побережье Сахалина создают риски прилова ценных и охраняемых видов водных биоресурсов и морских животных, включая сахалинского тайменя, калугу, плотоядную косатку и серого кита. В этой связи сохранение возможности применения наиболее протяженных ставных неводов в данном районе также создает дополнительные риски для биоразнообразия прибрежной зоны. </w:t>
      </w:r>
    </w:p>
    <w:p>
      <w:pPr>
        <w:pStyle w:val="Normal"/>
        <w:widowControl/>
        <w:spacing w:lineRule="exact" w:line="284" w:before="604" w:after="200"/>
        <w:ind w:hanging="0" w:start="1702" w:end="834"/>
        <w:jc w:val="start"/>
        <w:rPr/>
        <w:sectPr>
          <w:type w:val="nextPage"/>
          <w:pgSz w:w="11906" w:h="16838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С учетом изложенного считаю, что проект приказа Минсельхоза России в части отсутствия ограничения максимальной длины ставных неводов на северо-восточном побережье Сахалина не соответствует пункту 2 статьи 2 Федерального закона «О рыболовстве и </w:t>
      </w:r>
    </w:p>
    <w:p>
      <w:pPr>
        <w:pStyle w:val="Normal"/>
        <w:widowControl/>
        <w:spacing w:lineRule="exact" w:line="286" w:before="822" w:after="0"/>
        <w:ind w:hanging="0" w:start="1702" w:end="170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сохранении водных биологических ресурсов» и нуждается в корректировке до его принятия. </w:t>
      </w:r>
    </w:p>
    <w:p>
      <w:pPr>
        <w:pStyle w:val="Normal"/>
        <w:widowControl/>
        <w:spacing w:lineRule="exact" w:line="246" w:before="644" w:after="0"/>
        <w:ind w:hanging="0" w:start="1702" w:end="170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На основании изложенного прошу: </w:t>
      </w:r>
    </w:p>
    <w:p>
      <w:pPr>
        <w:pStyle w:val="Normal"/>
        <w:widowControl/>
        <w:spacing w:lineRule="exact" w:line="286" w:before="158" w:after="0"/>
        <w:ind w:hanging="0" w:start="1702" w:end="910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1. Провести проверку доводов данного обращения об указанном несоответствии проекта приказа Минсельхоза России «Об установлении ограничений рыболовства тихоокеанских лососей в Дальневосточном рыбохозяйственном бассейне в 2026 году» требованиям федерального законодательства. </w:t>
      </w:r>
    </w:p>
    <w:p>
      <w:pPr>
        <w:pStyle w:val="Normal"/>
        <w:widowControl/>
        <w:spacing w:lineRule="exact" w:line="284" w:before="160" w:after="0"/>
        <w:ind w:hanging="0" w:start="1702" w:end="96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2. При наличии оснований принять меры прокурорского реагирования, направленные на недопущение принятия нормативного правового акта, противоречащего пункту 2 статьи 2 Федерального закона от 20.12.2004 № 166-ФЗ «О рыболовстве и сохранении водных биологических ресурсов». </w:t>
      </w:r>
    </w:p>
    <w:p>
      <w:pPr>
        <w:pStyle w:val="Normal"/>
        <w:widowControl/>
        <w:spacing w:lineRule="exact" w:line="284" w:before="160" w:after="0"/>
        <w:ind w:hanging="0" w:start="1702" w:end="82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3. Рассмотреть вопрос о направлении в Минсельхоз России информации о необходимости распространения ограничения максимальной длины ставных неводов до 1000 метров на всем протяжении Восточно-Сахалинской подзоны от мыса Елизаветы до мыса Крильон. </w:t>
      </w:r>
    </w:p>
    <w:p>
      <w:pPr>
        <w:pStyle w:val="Normal"/>
        <w:widowControl/>
        <w:spacing w:lineRule="exact" w:line="286" w:before="158" w:after="0"/>
        <w:ind w:hanging="0" w:start="1702" w:end="170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4. Направить мне ответ о результатах рассмотрения настоящего обращения в установленный законом срок. </w:t>
      </w:r>
    </w:p>
    <w:p>
      <w:pPr>
        <w:pStyle w:val="Normal"/>
        <w:widowControl/>
        <w:spacing w:lineRule="exact" w:line="286" w:before="158" w:after="0"/>
        <w:ind w:hanging="0" w:start="1702" w:end="170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 </w:t>
      </w:r>
      <w:r>
        <w:rPr/>
        <w:br/>
      </w: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Приложения: </w:t>
      </w:r>
    </w:p>
    <w:p>
      <w:pPr>
        <w:pStyle w:val="Normal"/>
        <w:widowControl/>
        <w:spacing w:lineRule="exact" w:line="284" w:before="160" w:after="0"/>
        <w:ind w:hanging="0" w:start="1702" w:end="1168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1. Проект приказа Минсельхоза России «Об установлении ограничений рыболовства тихоокеанских лососей в Дальневосточном рыбохозяйственном бассейне в 2026 году». </w:t>
      </w:r>
    </w:p>
    <w:p>
      <w:pPr>
        <w:pStyle w:val="Normal"/>
        <w:widowControl/>
        <w:spacing w:lineRule="exact" w:line="284" w:before="162" w:after="0"/>
        <w:ind w:hanging="0" w:start="1702" w:end="1702"/>
        <w:jc w:val="start"/>
        <w:rPr/>
      </w:pPr>
      <w:r>
        <w:rPr>
          <w:rFonts w:eastAsia="ArialMT" w:ascii="ArialMT" w:hAnsi="ArialMT"/>
          <w:b w:val="false"/>
          <w:i w:val="false"/>
          <w:color w:val="000000"/>
          <w:sz w:val="22"/>
        </w:rPr>
        <w:t xml:space="preserve">2. Предложения в проект приказа Минсельхоза России, направленные в рамках общественного обсуждения. </w:t>
      </w:r>
    </w:p>
    <w:p>
      <w:pPr>
        <w:pStyle w:val="Normal"/>
        <w:widowControl/>
        <w:spacing w:lineRule="exact" w:line="246" w:before="644" w:after="0"/>
        <w:ind w:hanging="0" w:start="0" w:end="1702"/>
        <w:jc w:val="start"/>
        <w:rPr>
          <w:rFonts w:ascii="ArialMT" w:hAnsi="ArialMT" w:eastAsia="ArialMT"/>
          <w:b w:val="false"/>
          <w:i w:val="false"/>
          <w:color w:val="000000"/>
          <w:sz w:val="22"/>
        </w:rPr>
      </w:pPr>
      <w:r>
        <w:rPr/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MT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Style7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LibreOffice/25.8.6.2$Windows_X86_64 LibreOffice_project/b4b39682cd9868fa725bc664aff94278d315bd04</Application>
  <AppVersion>15.0000</AppVersion>
  <Pages>3</Pages>
  <Words>856</Words>
  <Characters>6106</Characters>
  <CharactersWithSpaces>6991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2026-05-20T08:36:17Z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